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E1AC" w14:textId="77777777" w:rsidR="009B0C85" w:rsidRPr="009B0C85" w:rsidRDefault="009B0C85" w:rsidP="009B0C85">
      <w:pPr>
        <w:spacing w:after="40"/>
        <w:rPr>
          <w:b/>
          <w:bCs/>
          <w:i/>
          <w:iCs/>
          <w:lang w:val="es-PE"/>
        </w:rPr>
      </w:pPr>
      <w:r w:rsidRPr="009B0C85">
        <w:rPr>
          <w:b/>
          <w:bCs/>
          <w:i/>
          <w:iCs/>
          <w:lang w:val="es-PE"/>
        </w:rPr>
        <w:t>Los exámenes de competencia en inglés, aunque difieren en formato y enfoque específico, comparten varias similitudes que subrayan su propósito común de evaluar la competencia lingüística entre hablantes no nativos. Aquí están las principales maneras en que estos exámenes son similares:</w:t>
      </w:r>
    </w:p>
    <w:p w14:paraId="408380DC" w14:textId="77777777" w:rsidR="009B0C85" w:rsidRDefault="009B0C85" w:rsidP="009B0C85">
      <w:pPr>
        <w:spacing w:after="40"/>
        <w:rPr>
          <w:lang w:val="es-PE"/>
        </w:rPr>
      </w:pPr>
    </w:p>
    <w:p w14:paraId="67E080B0" w14:textId="753655B9" w:rsidR="009B0C85" w:rsidRPr="009B0C85" w:rsidRDefault="009B0C85" w:rsidP="009B0C85">
      <w:pPr>
        <w:spacing w:after="40"/>
        <w:rPr>
          <w:b/>
          <w:bCs/>
          <w:lang w:val="es-PE"/>
        </w:rPr>
      </w:pPr>
      <w:r w:rsidRPr="009B0C85">
        <w:rPr>
          <w:b/>
          <w:bCs/>
          <w:lang w:val="es-PE"/>
        </w:rPr>
        <w:t>Evaluación Estandarizada</w:t>
      </w:r>
    </w:p>
    <w:p w14:paraId="2AB5CDC9" w14:textId="77777777" w:rsidR="009B0C85" w:rsidRPr="009B0C85" w:rsidRDefault="009B0C85" w:rsidP="009B0C85">
      <w:pPr>
        <w:spacing w:after="40"/>
        <w:ind w:left="720"/>
        <w:rPr>
          <w:lang w:val="es-PE"/>
        </w:rPr>
      </w:pPr>
      <w:r w:rsidRPr="009B0C85">
        <w:rPr>
          <w:lang w:val="es-PE"/>
        </w:rPr>
        <w:t>Todos los principales exámenes de competencia en inglés, incluyendo el TOEFL, IELTS, Duolingo English Test (DET) y Pearson English Test (PTE), son estandarizados. Esto significa que siguen un formato y un sistema de puntuación consistentes, lo que permite comparaciones fiables de las habilidades de los examinados en diferentes contextos e instituciones.</w:t>
      </w:r>
    </w:p>
    <w:p w14:paraId="03BA0158" w14:textId="77777777" w:rsidR="009B0C85" w:rsidRDefault="009B0C85" w:rsidP="009B0C85">
      <w:pPr>
        <w:spacing w:after="40"/>
        <w:rPr>
          <w:lang w:val="es-PE"/>
        </w:rPr>
      </w:pPr>
    </w:p>
    <w:p w14:paraId="1BA45670" w14:textId="0FF34C12" w:rsidR="009B0C85" w:rsidRPr="009B0C85" w:rsidRDefault="009B0C85" w:rsidP="009B0C85">
      <w:pPr>
        <w:spacing w:after="40"/>
        <w:rPr>
          <w:b/>
          <w:bCs/>
          <w:lang w:val="es-PE"/>
        </w:rPr>
      </w:pPr>
      <w:r w:rsidRPr="009B0C85">
        <w:rPr>
          <w:b/>
          <w:bCs/>
          <w:lang w:val="es-PE"/>
        </w:rPr>
        <w:t>Alineación con el MCER</w:t>
      </w:r>
    </w:p>
    <w:p w14:paraId="0A94C5EE" w14:textId="77777777" w:rsidR="009B0C85" w:rsidRPr="009B0C85" w:rsidRDefault="009B0C85" w:rsidP="009B0C85">
      <w:pPr>
        <w:spacing w:after="40"/>
        <w:ind w:left="720"/>
        <w:rPr>
          <w:lang w:val="es-PE"/>
        </w:rPr>
      </w:pPr>
      <w:r w:rsidRPr="009B0C85">
        <w:rPr>
          <w:lang w:val="es-PE"/>
        </w:rPr>
        <w:t>Cada uno de estos exámenes está alineado con el Marco Común Europeo de Referencia para las Lenguas (MCER), que proporciona una escala estandarizada para medir la competencia lingüística desde A1 (principiante) hasta C2 (competente). Esta alineación ayuda a las instituciones y empleadores a entender el nivel de competencia en inglés que posee un candidato, independientemente del examen que haya tomado.</w:t>
      </w:r>
    </w:p>
    <w:p w14:paraId="4ADF5D00" w14:textId="77777777" w:rsidR="009B0C85" w:rsidRDefault="009B0C85" w:rsidP="009B0C85">
      <w:pPr>
        <w:spacing w:after="40"/>
        <w:rPr>
          <w:lang w:val="es-PE"/>
        </w:rPr>
      </w:pPr>
    </w:p>
    <w:p w14:paraId="0879FAA1" w14:textId="11D2464B" w:rsidR="009B0C85" w:rsidRPr="009B0C85" w:rsidRDefault="009B0C85" w:rsidP="009B0C85">
      <w:pPr>
        <w:spacing w:after="40"/>
        <w:rPr>
          <w:b/>
          <w:bCs/>
          <w:lang w:val="es-PE"/>
        </w:rPr>
      </w:pPr>
      <w:r w:rsidRPr="009B0C85">
        <w:rPr>
          <w:b/>
          <w:bCs/>
          <w:lang w:val="es-PE"/>
        </w:rPr>
        <w:t>Cuatro Habilidades Lingüísticas Fundamentales</w:t>
      </w:r>
    </w:p>
    <w:p w14:paraId="4A90AAAF" w14:textId="77777777" w:rsidR="009B0C85" w:rsidRPr="009B0C85" w:rsidRDefault="009B0C85" w:rsidP="009B0C85">
      <w:pPr>
        <w:spacing w:after="40"/>
        <w:ind w:left="720"/>
        <w:rPr>
          <w:lang w:val="es-PE"/>
        </w:rPr>
      </w:pPr>
      <w:r w:rsidRPr="009B0C85">
        <w:rPr>
          <w:lang w:val="es-PE"/>
        </w:rPr>
        <w:t>Todos estos exámenes evalúan las cuatro habilidades lingüísticas fundamentales: lectura, escritura, comprensión auditiva y expresión oral. Este enfoque integral asegura que los candidatos sean evaluados sobre su capacidad para usar el inglés en varios contextos, ya sean académicos o profesionales. Por ejemplo:</w:t>
      </w:r>
    </w:p>
    <w:p w14:paraId="68D7FDA4" w14:textId="77777777" w:rsidR="009B0C85" w:rsidRDefault="009B0C85" w:rsidP="009B0C85">
      <w:pPr>
        <w:spacing w:after="40"/>
        <w:rPr>
          <w:lang w:val="es-PE"/>
        </w:rPr>
      </w:pPr>
    </w:p>
    <w:p w14:paraId="2AF0DE42" w14:textId="75FF93DA" w:rsidR="009B0C85" w:rsidRPr="009B0C85" w:rsidRDefault="009B0C85" w:rsidP="009B0C85">
      <w:pPr>
        <w:spacing w:after="40"/>
        <w:rPr>
          <w:b/>
          <w:bCs/>
          <w:lang w:val="es-PE"/>
        </w:rPr>
      </w:pPr>
      <w:r w:rsidRPr="009B0C85">
        <w:rPr>
          <w:b/>
          <w:bCs/>
          <w:lang w:val="es-PE"/>
        </w:rPr>
        <w:t>Reconocimiento Global</w:t>
      </w:r>
    </w:p>
    <w:p w14:paraId="758B45EB" w14:textId="77777777" w:rsidR="009B0C85" w:rsidRPr="009B0C85" w:rsidRDefault="009B0C85" w:rsidP="009B0C85">
      <w:pPr>
        <w:spacing w:after="40"/>
        <w:ind w:left="720"/>
        <w:rPr>
          <w:lang w:val="es-PE"/>
        </w:rPr>
      </w:pPr>
      <w:r w:rsidRPr="009B0C85">
        <w:rPr>
          <w:lang w:val="es-PE"/>
        </w:rPr>
        <w:t>Estos exámenes son ampliamente reconocidos por instituciones educativas, empleadores y gobiernos alrededor del mundo. Sirven como puntos de referencia cruciales para hablantes no nativos que buscan admisión a universidades, oportunidades laborales o inmigración.</w:t>
      </w:r>
    </w:p>
    <w:p w14:paraId="12FF78FE" w14:textId="77777777" w:rsidR="009B0C85" w:rsidRDefault="009B0C85" w:rsidP="009B0C85">
      <w:pPr>
        <w:spacing w:after="40"/>
        <w:rPr>
          <w:lang w:val="es-PE"/>
        </w:rPr>
      </w:pPr>
    </w:p>
    <w:p w14:paraId="7B062E32" w14:textId="412A68B3" w:rsidR="009B0C85" w:rsidRPr="009B0C85" w:rsidRDefault="009B0C85" w:rsidP="009B0C85">
      <w:pPr>
        <w:spacing w:after="40"/>
        <w:rPr>
          <w:b/>
          <w:bCs/>
          <w:lang w:val="es-PE"/>
        </w:rPr>
      </w:pPr>
      <w:r w:rsidRPr="009B0C85">
        <w:rPr>
          <w:b/>
          <w:bCs/>
          <w:lang w:val="es-PE"/>
        </w:rPr>
        <w:t>Propósito y Utilidad</w:t>
      </w:r>
    </w:p>
    <w:p w14:paraId="2D475D24" w14:textId="37272EAC" w:rsidR="009B0C85" w:rsidRPr="009B0C85" w:rsidRDefault="009B0C85" w:rsidP="009B0C85">
      <w:pPr>
        <w:spacing w:after="40"/>
        <w:ind w:left="720"/>
        <w:rPr>
          <w:lang w:val="es-PE"/>
        </w:rPr>
      </w:pPr>
      <w:r w:rsidRPr="009B0C85">
        <w:rPr>
          <w:lang w:val="es-PE"/>
        </w:rPr>
        <w:t>En última instancia, todos estos exámenes tienen como objetivo medir la competencia en el idioma inglés para propósitos específicos: ya sea admisión académica, certificación profesional o requisitos de inmigración. Juegan un papel significativo en facilitar la comunicación en un mundo cada vez más globalizado donde el inglés sirve como lengua franca. En resumen, aunque existen diferencias notables en formato y enfoque entre los exámenes de competencia en inglés como TOEFL, IELTS, PTE y DET, comparten similitudes fundamentales en su naturaleza estandarizada, alineación con los niveles del MCER, evaluación de habilidades lingüísticas centrales, reconocimiento global, disponibilidad de recursos de preparación y propósito general.</w:t>
      </w:r>
    </w:p>
    <w:p w14:paraId="1271F52B" w14:textId="77777777" w:rsidR="009B0C85" w:rsidRDefault="009B0C85" w:rsidP="009B0C85">
      <w:pPr>
        <w:spacing w:after="40"/>
      </w:pPr>
    </w:p>
    <w:p w14:paraId="25CCFFFA" w14:textId="6DD15334" w:rsidR="009B0C85" w:rsidRPr="009B0C85" w:rsidRDefault="009B0C85" w:rsidP="009B0C85">
      <w:pPr>
        <w:spacing w:after="40"/>
        <w:rPr>
          <w:b/>
          <w:bCs/>
          <w:sz w:val="16"/>
          <w:szCs w:val="16"/>
        </w:rPr>
      </w:pPr>
      <w:r w:rsidRPr="009B0C85">
        <w:rPr>
          <w:b/>
          <w:bCs/>
          <w:sz w:val="16"/>
          <w:szCs w:val="16"/>
        </w:rPr>
        <w:t>Citations:</w:t>
      </w:r>
    </w:p>
    <w:p w14:paraId="4484E1C0" w14:textId="77777777" w:rsidR="009B0C85" w:rsidRPr="009B0C85" w:rsidRDefault="009B0C85" w:rsidP="009B0C85">
      <w:pPr>
        <w:spacing w:after="40"/>
        <w:rPr>
          <w:b/>
          <w:bCs/>
          <w:sz w:val="16"/>
          <w:szCs w:val="16"/>
        </w:rPr>
      </w:pPr>
      <w:r w:rsidRPr="009B0C85">
        <w:rPr>
          <w:b/>
          <w:bCs/>
          <w:sz w:val="16"/>
          <w:szCs w:val="16"/>
        </w:rPr>
        <w:t>[1] https://www.examenglish.com/examscomparison.php</w:t>
      </w:r>
    </w:p>
    <w:p w14:paraId="38D56AFA" w14:textId="6E31BCBC" w:rsidR="009B0C85" w:rsidRPr="009B0C85" w:rsidRDefault="009B0C85" w:rsidP="009B0C85">
      <w:pPr>
        <w:spacing w:after="40"/>
        <w:rPr>
          <w:b/>
          <w:bCs/>
          <w:sz w:val="16"/>
          <w:szCs w:val="16"/>
        </w:rPr>
      </w:pPr>
      <w:r w:rsidRPr="009B0C85">
        <w:rPr>
          <w:b/>
          <w:bCs/>
          <w:sz w:val="16"/>
          <w:szCs w:val="16"/>
        </w:rPr>
        <w:t>[2] https://www.linkedin.com/pulse/unpackingdifferentenglishproficiencytestswhichone</w:t>
      </w:r>
    </w:p>
    <w:p w14:paraId="6E75C5B2" w14:textId="4A373C76" w:rsidR="009B0C85" w:rsidRPr="009B0C85" w:rsidRDefault="009B0C85" w:rsidP="009B0C85">
      <w:pPr>
        <w:spacing w:after="40"/>
        <w:rPr>
          <w:b/>
          <w:bCs/>
          <w:sz w:val="16"/>
          <w:szCs w:val="16"/>
        </w:rPr>
      </w:pPr>
      <w:r w:rsidRPr="009B0C85">
        <w:rPr>
          <w:b/>
          <w:bCs/>
          <w:sz w:val="16"/>
          <w:szCs w:val="16"/>
        </w:rPr>
        <w:t>[3] https://www.testinvite.com/dy/en/pages/usecases/globalenglishexams</w:t>
      </w:r>
    </w:p>
    <w:p w14:paraId="372E2571" w14:textId="55A58575" w:rsidR="009B0C85" w:rsidRPr="009B0C85" w:rsidRDefault="009B0C85" w:rsidP="009B0C85">
      <w:pPr>
        <w:spacing w:after="40"/>
        <w:rPr>
          <w:b/>
          <w:bCs/>
          <w:sz w:val="16"/>
          <w:szCs w:val="16"/>
        </w:rPr>
      </w:pPr>
      <w:r w:rsidRPr="009B0C85">
        <w:rPr>
          <w:b/>
          <w:bCs/>
          <w:sz w:val="16"/>
          <w:szCs w:val="16"/>
        </w:rPr>
        <w:t>[4] https://www.kingseducation.com/kingslife/typesofenglishtests</w:t>
      </w:r>
    </w:p>
    <w:p w14:paraId="005F298F" w14:textId="36C7DC17" w:rsidR="009B0C85" w:rsidRPr="009B0C85" w:rsidRDefault="009B0C85" w:rsidP="009B0C85">
      <w:pPr>
        <w:spacing w:after="40"/>
        <w:rPr>
          <w:b/>
          <w:bCs/>
          <w:sz w:val="16"/>
          <w:szCs w:val="16"/>
        </w:rPr>
      </w:pPr>
      <w:r w:rsidRPr="009B0C85">
        <w:rPr>
          <w:b/>
          <w:bCs/>
          <w:sz w:val="16"/>
          <w:szCs w:val="16"/>
        </w:rPr>
        <w:t>[5]</w:t>
      </w:r>
      <w:r>
        <w:rPr>
          <w:b/>
          <w:bCs/>
          <w:sz w:val="16"/>
          <w:szCs w:val="16"/>
        </w:rPr>
        <w:t xml:space="preserve"> </w:t>
      </w:r>
      <w:r w:rsidRPr="009B0C85">
        <w:rPr>
          <w:b/>
          <w:bCs/>
          <w:sz w:val="16"/>
          <w:szCs w:val="16"/>
        </w:rPr>
        <w:t>https://www.englishradar.com/englishexams/theultimateguidetoenglishproficiencyexaminationsenglishlevelcertificates/</w:t>
      </w:r>
    </w:p>
    <w:p w14:paraId="5DCA0DB1" w14:textId="580D6A83" w:rsidR="009B0C85" w:rsidRPr="009B0C85" w:rsidRDefault="009B0C85" w:rsidP="009B0C85">
      <w:pPr>
        <w:spacing w:after="40"/>
        <w:rPr>
          <w:b/>
          <w:bCs/>
          <w:sz w:val="16"/>
          <w:szCs w:val="16"/>
        </w:rPr>
      </w:pPr>
      <w:r w:rsidRPr="009B0C85">
        <w:rPr>
          <w:b/>
          <w:bCs/>
          <w:sz w:val="16"/>
          <w:szCs w:val="16"/>
        </w:rPr>
        <w:t>[6] https://www.ef.com/wwen/englishtests/</w:t>
      </w:r>
    </w:p>
    <w:p w14:paraId="2B7C28BA" w14:textId="0C7BDB9A" w:rsidR="009B0C85" w:rsidRPr="009B0C85" w:rsidRDefault="009B0C85" w:rsidP="009B0C85">
      <w:pPr>
        <w:spacing w:after="40"/>
        <w:rPr>
          <w:b/>
          <w:bCs/>
          <w:sz w:val="16"/>
          <w:szCs w:val="16"/>
        </w:rPr>
      </w:pPr>
      <w:r w:rsidRPr="009B0C85">
        <w:rPr>
          <w:b/>
          <w:bCs/>
          <w:sz w:val="16"/>
          <w:szCs w:val="16"/>
        </w:rPr>
        <w:t>[7] https://www.gradding.com/blog/exams/ieltsvstoeflvspte</w:t>
      </w:r>
    </w:p>
    <w:p w14:paraId="38EA440D" w14:textId="5772DA4E" w:rsidR="007C1787" w:rsidRDefault="009B0C85" w:rsidP="009B0C85">
      <w:pPr>
        <w:spacing w:after="40"/>
        <w:rPr>
          <w:b/>
          <w:bCs/>
          <w:sz w:val="16"/>
          <w:szCs w:val="16"/>
        </w:rPr>
      </w:pPr>
      <w:r w:rsidRPr="009B0C85">
        <w:rPr>
          <w:b/>
          <w:bCs/>
          <w:sz w:val="16"/>
          <w:szCs w:val="16"/>
        </w:rPr>
        <w:t xml:space="preserve">[8] </w:t>
      </w:r>
      <w:hyperlink r:id="rId4" w:history="1">
        <w:r w:rsidR="00AC3CD5" w:rsidRPr="004B74E4">
          <w:rPr>
            <w:rStyle w:val="Hipervnculo"/>
            <w:b/>
            <w:bCs/>
            <w:sz w:val="16"/>
            <w:szCs w:val="16"/>
          </w:rPr>
          <w:t>https://www.ieltsidpindia.com/information/ieltsvstoeflvsptevsduolingodifferences</w:t>
        </w:r>
      </w:hyperlink>
    </w:p>
    <w:p w14:paraId="346CBE62" w14:textId="32859B2D" w:rsidR="00AC3CD5" w:rsidRPr="00AC3CD5" w:rsidRDefault="00AC3CD5" w:rsidP="00AC3CD5">
      <w:pPr>
        <w:ind w:left="5760" w:firstLine="720"/>
        <w:rPr>
          <w:lang w:val="es-PE"/>
        </w:rPr>
      </w:pPr>
      <w:r w:rsidRPr="00AC3CD5">
        <w:rPr>
          <w:lang w:val="es-PE"/>
        </w:rPr>
        <w:t xml:space="preserve">Informe generado por </w:t>
      </w:r>
      <w:proofErr w:type="spellStart"/>
      <w:r w:rsidRPr="00AC3CD5">
        <w:rPr>
          <w:lang w:val="es-PE"/>
        </w:rPr>
        <w:t>Perplexity</w:t>
      </w:r>
      <w:proofErr w:type="spellEnd"/>
      <w:r w:rsidRPr="00AC3CD5">
        <w:rPr>
          <w:lang w:val="es-PE"/>
        </w:rPr>
        <w:t xml:space="preserve"> AI</w:t>
      </w:r>
    </w:p>
    <w:sectPr w:rsidR="00AC3CD5" w:rsidRPr="00AC3CD5" w:rsidSect="009B0C8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85"/>
    <w:rsid w:val="003D1D93"/>
    <w:rsid w:val="003F1C6B"/>
    <w:rsid w:val="007C1787"/>
    <w:rsid w:val="007E0C25"/>
    <w:rsid w:val="009A5AE1"/>
    <w:rsid w:val="009B0C85"/>
    <w:rsid w:val="00AC3CD5"/>
    <w:rsid w:val="00AF50E9"/>
    <w:rsid w:val="00B2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5BE7"/>
  <w15:chartTrackingRefBased/>
  <w15:docId w15:val="{BEB1C92C-660F-4380-8964-20541B6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0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0C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0C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0C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0C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0C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0C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0C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C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0C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0C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0C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0C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0C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0C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0C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0C85"/>
    <w:rPr>
      <w:rFonts w:eastAsiaTheme="majorEastAsia" w:cstheme="majorBidi"/>
      <w:color w:val="272727" w:themeColor="text1" w:themeTint="D8"/>
    </w:rPr>
  </w:style>
  <w:style w:type="paragraph" w:styleId="Ttulo">
    <w:name w:val="Title"/>
    <w:basedOn w:val="Normal"/>
    <w:next w:val="Normal"/>
    <w:link w:val="TtuloCar"/>
    <w:uiPriority w:val="10"/>
    <w:qFormat/>
    <w:rsid w:val="009B0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0C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0C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0C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0C85"/>
    <w:pPr>
      <w:spacing w:before="160"/>
      <w:jc w:val="center"/>
    </w:pPr>
    <w:rPr>
      <w:i/>
      <w:iCs/>
      <w:color w:val="404040" w:themeColor="text1" w:themeTint="BF"/>
    </w:rPr>
  </w:style>
  <w:style w:type="character" w:customStyle="1" w:styleId="CitaCar">
    <w:name w:val="Cita Car"/>
    <w:basedOn w:val="Fuentedeprrafopredeter"/>
    <w:link w:val="Cita"/>
    <w:uiPriority w:val="29"/>
    <w:rsid w:val="009B0C85"/>
    <w:rPr>
      <w:i/>
      <w:iCs/>
      <w:color w:val="404040" w:themeColor="text1" w:themeTint="BF"/>
    </w:rPr>
  </w:style>
  <w:style w:type="paragraph" w:styleId="Prrafodelista">
    <w:name w:val="List Paragraph"/>
    <w:basedOn w:val="Normal"/>
    <w:uiPriority w:val="34"/>
    <w:qFormat/>
    <w:rsid w:val="009B0C85"/>
    <w:pPr>
      <w:ind w:left="720"/>
      <w:contextualSpacing/>
    </w:pPr>
  </w:style>
  <w:style w:type="character" w:styleId="nfasisintenso">
    <w:name w:val="Intense Emphasis"/>
    <w:basedOn w:val="Fuentedeprrafopredeter"/>
    <w:uiPriority w:val="21"/>
    <w:qFormat/>
    <w:rsid w:val="009B0C85"/>
    <w:rPr>
      <w:i/>
      <w:iCs/>
      <w:color w:val="0F4761" w:themeColor="accent1" w:themeShade="BF"/>
    </w:rPr>
  </w:style>
  <w:style w:type="paragraph" w:styleId="Citadestacada">
    <w:name w:val="Intense Quote"/>
    <w:basedOn w:val="Normal"/>
    <w:next w:val="Normal"/>
    <w:link w:val="CitadestacadaCar"/>
    <w:uiPriority w:val="30"/>
    <w:qFormat/>
    <w:rsid w:val="009B0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0C85"/>
    <w:rPr>
      <w:i/>
      <w:iCs/>
      <w:color w:val="0F4761" w:themeColor="accent1" w:themeShade="BF"/>
    </w:rPr>
  </w:style>
  <w:style w:type="character" w:styleId="Referenciaintensa">
    <w:name w:val="Intense Reference"/>
    <w:basedOn w:val="Fuentedeprrafopredeter"/>
    <w:uiPriority w:val="32"/>
    <w:qFormat/>
    <w:rsid w:val="009B0C85"/>
    <w:rPr>
      <w:b/>
      <w:bCs/>
      <w:smallCaps/>
      <w:color w:val="0F4761" w:themeColor="accent1" w:themeShade="BF"/>
      <w:spacing w:val="5"/>
    </w:rPr>
  </w:style>
  <w:style w:type="character" w:styleId="Hipervnculo">
    <w:name w:val="Hyperlink"/>
    <w:basedOn w:val="Fuentedeprrafopredeter"/>
    <w:uiPriority w:val="99"/>
    <w:unhideWhenUsed/>
    <w:rsid w:val="00AC3CD5"/>
    <w:rPr>
      <w:color w:val="467886" w:themeColor="hyperlink"/>
      <w:u w:val="single"/>
    </w:rPr>
  </w:style>
  <w:style w:type="character" w:styleId="Mencinsinresolver">
    <w:name w:val="Unresolved Mention"/>
    <w:basedOn w:val="Fuentedeprrafopredeter"/>
    <w:uiPriority w:val="99"/>
    <w:semiHidden/>
    <w:unhideWhenUsed/>
    <w:rsid w:val="00AC3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ltsidpindia.com/information/ieltsvstoeflvsptevsduolingodif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'Pepe' Miller</dc:creator>
  <cp:keywords/>
  <dc:description/>
  <cp:lastModifiedBy>Joe 'Pepe' Miller</cp:lastModifiedBy>
  <cp:revision>2</cp:revision>
  <dcterms:created xsi:type="dcterms:W3CDTF">2024-09-18T17:56:00Z</dcterms:created>
  <dcterms:modified xsi:type="dcterms:W3CDTF">2024-09-18T18:04:00Z</dcterms:modified>
</cp:coreProperties>
</file>